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B5963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B5963" w:rsidRDefault="00B418F0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noProof/>
                <w:kern w:val="0"/>
                <w:sz w:val="28"/>
                <w:szCs w:val="28"/>
                <w:lang w:eastAsia="en-IN"/>
              </w:rPr>
              <w:t>Beet Root</w:t>
            </w:r>
          </w:p>
          <w:p w14:paraId="1214838E" w14:textId="77777777" w:rsidR="006D762B" w:rsidRPr="00CB5963" w:rsidRDefault="00287D8C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  <w:t xml:space="preserve"> Package of Practices</w:t>
            </w:r>
          </w:p>
          <w:p w14:paraId="38079A14" w14:textId="77777777" w:rsidR="006D762B" w:rsidRPr="00CB5963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</w:p>
        </w:tc>
      </w:tr>
      <w:tr w:rsidR="00CB5963" w:rsidRPr="00CB5963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B5963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w:type="spellStart"/>
            <w:proofErr w:type="gramStart"/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Sl.No</w:t>
            </w:r>
            <w:proofErr w:type="spellEnd"/>
            <w:proofErr w:type="gramEnd"/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B5963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Parameter 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B5963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Description</w:t>
            </w:r>
          </w:p>
        </w:tc>
      </w:tr>
      <w:tr w:rsidR="00CB5963" w:rsidRPr="00CB5963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B5963" w:rsidRDefault="00287D8C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B5963" w:rsidRDefault="004B681A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Scientific name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B5963" w:rsidRDefault="00B418F0" w:rsidP="00287D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  <w:t>Beta vulgaris</w:t>
            </w:r>
          </w:p>
        </w:tc>
      </w:tr>
      <w:tr w:rsidR="00CB5963" w:rsidRPr="00CB5963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B5963" w:rsidRDefault="00984B2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Hybrid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B5963" w:rsidRDefault="00455532" w:rsidP="00455532">
            <w:pPr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F1 </w:t>
            </w:r>
            <w:r w:rsidR="00D35FED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Kestrel</w:t>
            </w:r>
          </w:p>
        </w:tc>
      </w:tr>
      <w:tr w:rsidR="00CB5963" w:rsidRPr="00CB5963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Soil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B5963" w:rsidRDefault="00B418F0" w:rsidP="00B418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Deep red loamy soils with good drainage also suited in laterite soils with soil Ph of 6.5 to 7.5.</w:t>
            </w:r>
          </w:p>
        </w:tc>
      </w:tr>
      <w:tr w:rsidR="00CB5963" w:rsidRPr="00CB5963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Land Preparation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B5963" w:rsidRDefault="00B418F0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Ploughing the soils with 2-3 times, make fine tilth with rotavator</w:t>
            </w:r>
            <w:r w:rsidR="006033F5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and apply recommended FYM at time of ploughing.</w:t>
            </w:r>
          </w:p>
        </w:tc>
      </w:tr>
      <w:tr w:rsidR="00CB5963" w:rsidRPr="00CB5963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Spacing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B5963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Manual broad casting </w:t>
            </w:r>
            <w:r w:rsidR="004E7EED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or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seed </w:t>
            </w:r>
            <w:r w:rsidR="003E2F12" w:rsidRPr="00CB5963">
              <w:rPr>
                <w:rFonts w:ascii="Calibri" w:eastAsia="Times New Roman" w:hAnsi="Calibri" w:cs="Calibri"/>
                <w:kern w:val="0"/>
                <w:lang w:eastAsia="en-IN"/>
              </w:rPr>
              <w:t>dibbling</w:t>
            </w:r>
            <w:r w:rsidR="004E7EED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maintain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spacing of 30</w:t>
            </w:r>
            <w:r w:rsidR="003E2F12" w:rsidRPr="00CB5963">
              <w:rPr>
                <w:rFonts w:ascii="Calibri" w:eastAsia="Times New Roman" w:hAnsi="Calibri" w:cs="Calibri"/>
                <w:kern w:val="0"/>
                <w:lang w:eastAsia="en-IN"/>
              </w:rPr>
              <w:t>*10 cm</w:t>
            </w:r>
          </w:p>
        </w:tc>
      </w:tr>
      <w:tr w:rsidR="00CB5963" w:rsidRPr="00CB5963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Climate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B5963" w:rsidRDefault="00E927DD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C</w:t>
            </w:r>
            <w:r w:rsidR="00B418F0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ool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to </w:t>
            </w:r>
            <w:r w:rsidR="00B418F0" w:rsidRPr="00CB5963">
              <w:rPr>
                <w:rFonts w:ascii="Calibri" w:eastAsia="Times New Roman" w:hAnsi="Calibri" w:cs="Calibri"/>
                <w:kern w:val="0"/>
                <w:lang w:eastAsia="en-IN"/>
              </w:rPr>
              <w:t>moderately warm season with a temp range of 18-2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3</w:t>
            </w:r>
            <w:r w:rsidR="006033F5" w:rsidRPr="00CB5963">
              <w:rPr>
                <w:rFonts w:ascii="Calibri" w:eastAsia="Times New Roman" w:hAnsi="Calibri" w:cs="Calibri"/>
                <w:kern w:val="0"/>
                <w:lang w:eastAsia="en-IN"/>
              </w:rPr>
              <w:t>°C required to obtain good quality roots.</w:t>
            </w:r>
          </w:p>
        </w:tc>
      </w:tr>
      <w:tr w:rsidR="00CB5963" w:rsidRPr="00CB5963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130F3B2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Season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Winter Sowing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>Oct-Nov</w:t>
            </w:r>
          </w:p>
        </w:tc>
      </w:tr>
      <w:tr w:rsidR="00CB5963" w:rsidRPr="00CB5963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Rainy Sowing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>Jun-</w:t>
            </w:r>
            <w:r w:rsidR="00A356FA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>Aug</w:t>
            </w:r>
          </w:p>
        </w:tc>
      </w:tr>
      <w:tr w:rsidR="00CB5963" w:rsidRPr="00CB5963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Summer Sowing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B5963" w:rsidRDefault="006033F5" w:rsidP="006033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March-April</w:t>
            </w:r>
          </w:p>
        </w:tc>
      </w:tr>
      <w:tr w:rsidR="00CB5963" w:rsidRPr="00CB5963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Seed Rate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Broad Casting requires 8-10 kg/Ha</w:t>
            </w:r>
          </w:p>
        </w:tc>
      </w:tr>
      <w:tr w:rsidR="00CB5963" w:rsidRPr="00CB5963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Seed Dibbling requires 6-7 kg/Ha depends on spacing and method of dibbling</w:t>
            </w:r>
          </w:p>
        </w:tc>
      </w:tr>
      <w:tr w:rsidR="00CB5963" w:rsidRPr="00CB5963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61DE8E1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Fertilizers &amp; Manures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FYM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B5963" w:rsidRDefault="00974DF3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20 ton/Ha</w:t>
            </w:r>
          </w:p>
        </w:tc>
      </w:tr>
      <w:tr w:rsidR="00CB5963" w:rsidRPr="00CB5963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Nitrogen 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B5963" w:rsidRDefault="00542C44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120</w:t>
            </w:r>
            <w:r w:rsidR="003C53CE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kg/Ha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Full dose of P</w:t>
            </w:r>
            <w:r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>2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O</w:t>
            </w:r>
            <w:r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5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and K</w:t>
            </w:r>
            <w:r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>2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and half dose of N applies as basal, remain half dose of N applied as top dressing when plant growing </w:t>
            </w:r>
            <w:r w:rsidR="00A356FA" w:rsidRPr="00CB5963">
              <w:rPr>
                <w:rFonts w:ascii="Calibri" w:eastAsia="Times New Roman" w:hAnsi="Calibri" w:cs="Calibri"/>
                <w:kern w:val="0"/>
                <w:lang w:eastAsia="en-IN"/>
              </w:rPr>
              <w:t>vigorously</w:t>
            </w:r>
          </w:p>
        </w:tc>
      </w:tr>
      <w:tr w:rsidR="00CB5963" w:rsidRPr="00CB5963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Phosphorus 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1</w:t>
            </w:r>
            <w:r w:rsidR="00542C44" w:rsidRPr="00CB5963">
              <w:rPr>
                <w:rFonts w:ascii="Calibri" w:eastAsia="Times New Roman" w:hAnsi="Calibri" w:cs="Calibri"/>
                <w:kern w:val="0"/>
                <w:lang w:eastAsia="en-IN"/>
              </w:rPr>
              <w:t>6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0 kg/Ha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Potassium 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B5963" w:rsidRDefault="00542C44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10</w:t>
            </w:r>
            <w:r w:rsidR="003C53CE" w:rsidRPr="00CB5963">
              <w:rPr>
                <w:rFonts w:ascii="Calibri" w:eastAsia="Times New Roman" w:hAnsi="Calibri" w:cs="Calibri"/>
                <w:kern w:val="0"/>
                <w:lang w:eastAsia="en-IN"/>
              </w:rPr>
              <w:t>0kg/Ha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Any special cases, mention here</w:t>
            </w:r>
            <w:r w:rsidR="00974DF3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</w:t>
            </w:r>
            <w:r w:rsidR="00667928" w:rsidRPr="00CB5963">
              <w:rPr>
                <w:rFonts w:ascii="Calibri" w:eastAsia="Times New Roman" w:hAnsi="Calibri" w:cs="Calibri"/>
                <w:kern w:val="0"/>
                <w:lang w:eastAsia="en-IN"/>
              </w:rPr>
              <w:t>avoid exce</w:t>
            </w:r>
            <w:r w:rsidR="00A51171" w:rsidRPr="00CB5963">
              <w:rPr>
                <w:rFonts w:ascii="Calibri" w:eastAsia="Times New Roman" w:hAnsi="Calibri" w:cs="Calibri"/>
                <w:kern w:val="0"/>
                <w:lang w:eastAsia="en-IN"/>
              </w:rPr>
              <w:t>ss</w:t>
            </w:r>
            <w:r w:rsidR="00667928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nitrogen causes root cracking</w:t>
            </w:r>
          </w:p>
        </w:tc>
      </w:tr>
      <w:tr w:rsidR="00CB5963" w:rsidRPr="00CB5963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Irrigation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B5963" w:rsidRDefault="00667928" w:rsidP="003D0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Enough soil moisture required to achieve uniform germination, crop irrigated 4-5 days interval in summer and 10-12 days interval in rainy season.</w:t>
            </w:r>
          </w:p>
        </w:tc>
      </w:tr>
      <w:tr w:rsidR="00CB5963" w:rsidRPr="00CB5963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Weed Control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B5963" w:rsidRDefault="00667928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Manual weeding </w:t>
            </w:r>
          </w:p>
        </w:tc>
      </w:tr>
      <w:tr w:rsidR="00CB5963" w:rsidRPr="00CB5963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Any special crop practices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B5963" w:rsidRDefault="00667928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Hand thinning to removes excess plants necessary for uniform root development.</w:t>
            </w:r>
          </w:p>
        </w:tc>
      </w:tr>
      <w:tr w:rsidR="00CB5963" w:rsidRPr="00CB5963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02BB7333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Diseases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Name of the diseases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Symptoms &amp; management</w:t>
            </w:r>
          </w:p>
        </w:tc>
      </w:tr>
      <w:tr w:rsidR="00CB5963" w:rsidRPr="00CB5963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Rhizomania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Disease caused by </w:t>
            </w:r>
            <w:r w:rsidRPr="00CB5963">
              <w:rPr>
                <w:rFonts w:ascii="Calibri" w:eastAsia="Times New Roman" w:hAnsi="Calibri" w:cs="Calibri"/>
                <w:i/>
                <w:kern w:val="0"/>
                <w:lang w:eastAsia="en-IN"/>
              </w:rPr>
              <w:t>Beet Necrotic Yellow Vein Virus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(BNYVV) causes elongation of crown region and in severe conditions root bulb growth is severely stunted cause in significant yield loss. </w:t>
            </w:r>
          </w:p>
          <w:p w14:paraId="1E65DD37" w14:textId="56AD5F31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Control measures: Use resistant varieties, crop rotation</w:t>
            </w:r>
          </w:p>
        </w:tc>
      </w:tr>
      <w:tr w:rsidR="00CB5963" w:rsidRPr="00CB5963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Cercospora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Leaf Spot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Circular spots on leaves which spread on leaf cause defoliation of foliage. </w:t>
            </w:r>
          </w:p>
          <w:p w14:paraId="73DB9B4B" w14:textId="53ECF9F2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Control Measures: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Hexaconozole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5% EC (2ml/L), Azoxystrobin 23%SC (1ml/L), Mancozeb 63% +</w:t>
            </w:r>
            <w:r w:rsidR="0038616D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Carbendizim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12% WP (1g/L)</w:t>
            </w:r>
          </w:p>
        </w:tc>
      </w:tr>
      <w:tr w:rsidR="00CB5963" w:rsidRPr="00CB5963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Downy Mildew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Greyish areas on leaves turn white and shrivel cause defoliation</w:t>
            </w:r>
          </w:p>
          <w:p w14:paraId="1D0ED63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Control Measure: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Metalaxyl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8% + Mancozeb 64% WP (2g/L)</w:t>
            </w:r>
          </w:p>
        </w:tc>
      </w:tr>
      <w:tr w:rsidR="00CB5963" w:rsidRPr="00CB5963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B5963" w:rsidRDefault="005E638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Rhizoctonia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Horizontal cracking of roots leading to rotting and other secondary fungal infections</w:t>
            </w:r>
          </w:p>
          <w:p w14:paraId="660663FB" w14:textId="656511A6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Control </w:t>
            </w:r>
            <w:proofErr w:type="gram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Measures :</w:t>
            </w:r>
            <w:proofErr w:type="gram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Carbendazim @ 1 gm /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ltr</w:t>
            </w:r>
            <w:proofErr w:type="spellEnd"/>
          </w:p>
        </w:tc>
      </w:tr>
      <w:tr w:rsidR="00CB5963" w:rsidRPr="00CB5963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525BD349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Pests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Name of the pests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Symptoms &amp; management</w:t>
            </w:r>
          </w:p>
        </w:tc>
      </w:tr>
      <w:tr w:rsidR="00CB5963" w:rsidRPr="00CB5963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B5963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Beet leaf minor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B5963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Maggots feed on epidermal layers of leaf cause mines on leaves appears </w:t>
            </w:r>
            <w:proofErr w:type="gram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silver yellow</w:t>
            </w:r>
            <w:proofErr w:type="gram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controlled </w:t>
            </w:r>
            <w:proofErr w:type="gram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by 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Thimethoxam</w:t>
            </w:r>
            <w:proofErr w:type="spellEnd"/>
            <w:proofErr w:type="gram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25</w:t>
            </w:r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WG (0.25g/L)</w:t>
            </w:r>
          </w:p>
        </w:tc>
      </w:tr>
      <w:tr w:rsidR="00CB5963" w:rsidRPr="00CB5963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B5963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Darkling beetle or Rove Beetle 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B5963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Eat the leaves of plant cause leaf damage controlled by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Klingocide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elite 50 EC @ 0.5 ML /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ltr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Quinalphos 25 % EC @ 2 ml /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ltr</w:t>
            </w:r>
            <w:proofErr w:type="spellEnd"/>
          </w:p>
        </w:tc>
      </w:tr>
      <w:tr w:rsidR="00CB5963" w:rsidRPr="00CB5963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B5963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>Aphids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B5963" w:rsidRDefault="009D45A5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Suck the sap from lower leaves of plant cause misshapen of leaf controlled by </w:t>
            </w:r>
            <w:proofErr w:type="spellStart"/>
            <w:r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>Acephate</w:t>
            </w:r>
            <w:proofErr w:type="spellEnd"/>
            <w:r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75% SP (1g/L)</w:t>
            </w:r>
            <w:r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>, Imidacloprid @ 0.25 ml /</w:t>
            </w:r>
            <w:proofErr w:type="spellStart"/>
            <w:r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>ltr</w:t>
            </w:r>
            <w:proofErr w:type="spellEnd"/>
          </w:p>
        </w:tc>
      </w:tr>
      <w:tr w:rsidR="00CB5963" w:rsidRPr="00CB5963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B5963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Leaf Hopper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B5963" w:rsidRDefault="00A2739C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Suck the sap from leaves of plant cause misshapen of leaf controlled by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Klingocide</w:t>
            </w:r>
            <w:proofErr w:type="spellEnd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elite 50 EC @ 0.5 ML / </w:t>
            </w:r>
            <w:proofErr w:type="spellStart"/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ltr</w:t>
            </w:r>
            <w:proofErr w:type="spellEnd"/>
          </w:p>
        </w:tc>
      </w:tr>
      <w:tr w:rsidR="00CB5963" w:rsidRPr="00CB5963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Harvesting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B5963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The crop w</w:t>
            </w:r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ill be 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ready for harvest after 6</w:t>
            </w:r>
            <w:r w:rsidR="00D35FED" w:rsidRPr="00CB5963">
              <w:rPr>
                <w:rFonts w:ascii="Calibri" w:eastAsia="Times New Roman" w:hAnsi="Calibri" w:cs="Calibri"/>
                <w:kern w:val="0"/>
                <w:lang w:eastAsia="en-IN"/>
              </w:rPr>
              <w:t>5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-</w:t>
            </w:r>
            <w:r w:rsidR="00D35FED" w:rsidRPr="00CB5963">
              <w:rPr>
                <w:rFonts w:ascii="Calibri" w:eastAsia="Times New Roman" w:hAnsi="Calibri" w:cs="Calibri"/>
                <w:kern w:val="0"/>
                <w:lang w:eastAsia="en-IN"/>
              </w:rPr>
              <w:t>7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5 days after sowing, </w:t>
            </w:r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harvesting can be done manually by pulling out each bulb from the soil or by mechanical harvester. The root bulbs </w:t>
            </w:r>
            <w:proofErr w:type="gramStart"/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>have to</w:t>
            </w:r>
            <w:proofErr w:type="gramEnd"/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 be washed with water to get rid of soil debris and other infections. Grading can be done based on market requirement.</w:t>
            </w:r>
          </w:p>
        </w:tc>
      </w:tr>
      <w:tr w:rsidR="00CB5963" w:rsidRPr="00CB5963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Yield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B5963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25-30 </w:t>
            </w:r>
            <w:r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>t</w:t>
            </w:r>
            <w:r w:rsidRPr="00CB5963">
              <w:rPr>
                <w:rFonts w:ascii="Calibri" w:eastAsia="Times New Roman" w:hAnsi="Calibri" w:cs="Calibri"/>
                <w:kern w:val="0"/>
                <w:lang w:eastAsia="en-IN"/>
              </w:rPr>
              <w:t>on/Ha</w:t>
            </w:r>
          </w:p>
        </w:tc>
      </w:tr>
      <w:tr w:rsidR="00CB5963" w:rsidRPr="00CB5963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B5963" w:rsidRDefault="009255CD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>Physiological disorders, Symptoms &amp; Management</w:t>
            </w:r>
          </w:p>
        </w:tc>
      </w:tr>
      <w:tr w:rsidR="00CB5963" w:rsidRPr="00CB5963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B5963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  <w:t>Zoning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B5963" w:rsidRDefault="002D09E1" w:rsidP="003D0182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>Alternate dark and light colour rings are formed on the beet root. Zoning occurs due to high temperature</w:t>
            </w:r>
            <w:r w:rsidR="003E4132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 or </w:t>
            </w:r>
            <w:r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>irregular supply of moisture.</w:t>
            </w:r>
          </w:p>
        </w:tc>
      </w:tr>
    </w:tbl>
    <w:p w14:paraId="3112A256" w14:textId="77777777" w:rsidR="00F00D14" w:rsidRPr="00CB5963" w:rsidRDefault="00F00D14">
      <w:pPr>
        <w:rPr>
          <w:rFonts w:ascii="Calibri" w:hAnsi="Calibri" w:cs="Calibri"/>
        </w:rPr>
      </w:pPr>
    </w:p>
    <w:sectPr w:rsidR="00F00D14" w:rsidRPr="00CB5963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Pratibha B R</cp:lastModifiedBy>
  <cp:revision>10</cp:revision>
  <cp:lastPrinted>2025-05-13T09:23:00Z</cp:lastPrinted>
  <dcterms:created xsi:type="dcterms:W3CDTF">2025-09-24T09:56:00Z</dcterms:created>
  <dcterms:modified xsi:type="dcterms:W3CDTF">2025-09-29T04:46:00Z</dcterms:modified>
</cp:coreProperties>
</file>